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8336" w14:textId="32C45C33" w:rsidR="007A33C1" w:rsidRDefault="007A33C1" w:rsidP="007A33C1">
      <w:pPr>
        <w:pStyle w:val="Heading1"/>
        <w:contextualSpacing/>
      </w:pPr>
      <w:r>
        <w:t xml:space="preserve">KARIÑU’S PREVENTION COMPONENT </w:t>
      </w:r>
    </w:p>
    <w:p w14:paraId="58CF9D96" w14:textId="77777777" w:rsidR="007A33C1" w:rsidRDefault="007A33C1" w:rsidP="007A33C1">
      <w:pPr>
        <w:pStyle w:val="Heading1"/>
        <w:contextualSpacing/>
      </w:pPr>
      <w:r>
        <w:t>EVALUATION DATA: 2015 -2018</w:t>
      </w:r>
    </w:p>
    <w:p w14:paraId="2FDD5DB5" w14:textId="77777777" w:rsidR="007A33C1" w:rsidRDefault="007A33C1" w:rsidP="007A33C1"/>
    <w:p w14:paraId="4B55A711" w14:textId="24F811CD" w:rsidR="007A33C1" w:rsidRPr="007A33C1" w:rsidRDefault="007A33C1" w:rsidP="007A33C1">
      <w:pPr>
        <w:rPr>
          <w:b/>
          <w:bCs/>
        </w:rPr>
      </w:pPr>
      <w:r w:rsidRPr="007A33C1">
        <w:rPr>
          <w:b/>
          <w:bCs/>
        </w:rPr>
        <w:t>849 Children Ages 1 Month – 6 Years Have Been Screened</w:t>
      </w:r>
    </w:p>
    <w:p w14:paraId="2FF70747" w14:textId="77777777" w:rsidR="007A33C1" w:rsidRDefault="007A33C1" w:rsidP="007A33C1">
      <w:r>
        <w:t xml:space="preserve">Children ages 1 month through 6 years were screened using the Ages and Stages Questionnaire </w:t>
      </w:r>
    </w:p>
    <w:p w14:paraId="2C9B173B" w14:textId="5BCFB02D" w:rsidR="007A33C1" w:rsidRDefault="007A33C1" w:rsidP="007A33C1">
      <w:r>
        <w:t xml:space="preserve">(ASQ-3) and/or the Ages and Stages Questionnaire: Social Emotional (ASQ:SE). Fifty-eight percent (58%) of children screened were male and 42% female. </w:t>
      </w:r>
    </w:p>
    <w:p w14:paraId="54D6F651" w14:textId="77777777" w:rsidR="007A33C1" w:rsidRDefault="007A33C1" w:rsidP="007A33C1"/>
    <w:p w14:paraId="0F7EFEBC" w14:textId="367267D7" w:rsidR="007A33C1" w:rsidRDefault="007A33C1" w:rsidP="007A33C1">
      <w:r>
        <w:t>54%</w:t>
      </w:r>
      <w:r w:rsidR="006A01FE">
        <w:t xml:space="preserve"> </w:t>
      </w:r>
      <w:r>
        <w:t>Chamorro</w:t>
      </w:r>
    </w:p>
    <w:p w14:paraId="15FF263A" w14:textId="5E06656A" w:rsidR="007A33C1" w:rsidRDefault="006A01FE" w:rsidP="007A33C1">
      <w:r>
        <w:t xml:space="preserve">28% </w:t>
      </w:r>
      <w:proofErr w:type="spellStart"/>
      <w:r w:rsidR="007A33C1">
        <w:t>Chuukese</w:t>
      </w:r>
      <w:proofErr w:type="spellEnd"/>
      <w:r w:rsidR="007A33C1">
        <w:t xml:space="preserve"> </w:t>
      </w:r>
    </w:p>
    <w:p w14:paraId="366D8A32" w14:textId="1A7824B4" w:rsidR="006A01FE" w:rsidRDefault="006A01FE" w:rsidP="007A33C1">
      <w:r>
        <w:t>7% Filipino</w:t>
      </w:r>
    </w:p>
    <w:p w14:paraId="0E24C0F2" w14:textId="2191674B" w:rsidR="006A01FE" w:rsidRDefault="006A01FE" w:rsidP="007A33C1">
      <w:r>
        <w:t>7% Other Micronesian</w:t>
      </w:r>
    </w:p>
    <w:p w14:paraId="0930F6A2" w14:textId="0469D384" w:rsidR="006A01FE" w:rsidRDefault="006A01FE" w:rsidP="007A33C1">
      <w:r>
        <w:t>4% Other</w:t>
      </w:r>
    </w:p>
    <w:p w14:paraId="1C6CDEAE" w14:textId="48B9564F" w:rsidR="007A33C1" w:rsidRDefault="007A33C1" w:rsidP="006A01FE">
      <w:pPr>
        <w:pStyle w:val="Heading1"/>
      </w:pPr>
      <w:r>
        <w:t>Families Receiving Public Assistance</w:t>
      </w:r>
    </w:p>
    <w:p w14:paraId="17A789C3" w14:textId="1B0260A2" w:rsidR="007A33C1" w:rsidRDefault="006A01FE" w:rsidP="007A33C1">
      <w:r>
        <w:t>68% Food Stamp</w:t>
      </w:r>
    </w:p>
    <w:p w14:paraId="4541D588" w14:textId="08A96011" w:rsidR="006A01FE" w:rsidRDefault="006A01FE" w:rsidP="007A33C1">
      <w:r>
        <w:t>58% WIC</w:t>
      </w:r>
    </w:p>
    <w:p w14:paraId="1069C33C" w14:textId="6889AAC9" w:rsidR="007A33C1" w:rsidRDefault="006A01FE" w:rsidP="007A33C1">
      <w:r>
        <w:t>14% GHURA</w:t>
      </w:r>
    </w:p>
    <w:p w14:paraId="1F8A73BE" w14:textId="08886D2D" w:rsidR="007A33C1" w:rsidRDefault="007A33C1" w:rsidP="006A01FE">
      <w:pPr>
        <w:pStyle w:val="Heading1"/>
      </w:pPr>
      <w:r>
        <w:t>Screening Results</w:t>
      </w:r>
    </w:p>
    <w:p w14:paraId="545B5160" w14:textId="2D491A7B" w:rsidR="007A33C1" w:rsidRDefault="007A33C1" w:rsidP="007A33C1">
      <w:r>
        <w:t>The ASQ-3 and ASQ:SE have cut-off scores to indicate if children are “age typically developing”, need monitoring or developmental learning activities, or are at risk and need further</w:t>
      </w:r>
      <w:r w:rsidR="006A01FE">
        <w:t xml:space="preserve"> </w:t>
      </w:r>
      <w:r>
        <w:t xml:space="preserve">assessment and/or intervention. </w:t>
      </w:r>
    </w:p>
    <w:p w14:paraId="170F8527" w14:textId="413F1D05" w:rsidR="007A33C1" w:rsidRDefault="007A33C1" w:rsidP="002053A1">
      <w:pPr>
        <w:pStyle w:val="Heading1"/>
      </w:pPr>
      <w:r>
        <w:t>Nearly 1/3 of Children Screened Are at Risk</w:t>
      </w:r>
    </w:p>
    <w:p w14:paraId="7C6FBF38" w14:textId="77777777" w:rsidR="006A01FE" w:rsidRPr="006A01FE" w:rsidRDefault="006A01FE" w:rsidP="006A01FE">
      <w:pPr>
        <w:rPr>
          <w:rStyle w:val="Strong"/>
        </w:rPr>
      </w:pPr>
      <w:r w:rsidRPr="006A01FE">
        <w:rPr>
          <w:rStyle w:val="Strong"/>
        </w:rPr>
        <w:t>ASQ-3</w:t>
      </w:r>
    </w:p>
    <w:p w14:paraId="5CA9B277" w14:textId="4D73094E" w:rsidR="007A33C1" w:rsidRDefault="006A01FE" w:rsidP="007A33C1">
      <w:r>
        <w:t xml:space="preserve">32% </w:t>
      </w:r>
      <w:r w:rsidR="007A33C1">
        <w:t>Needs Further Assessment/Developmental Learning Activities</w:t>
      </w:r>
    </w:p>
    <w:p w14:paraId="4D5CD2E5" w14:textId="2266DE50" w:rsidR="006A01FE" w:rsidRDefault="006A01FE" w:rsidP="006A01FE">
      <w:r>
        <w:t xml:space="preserve">21% </w:t>
      </w:r>
      <w:r>
        <w:t>Needs Monitoring</w:t>
      </w:r>
    </w:p>
    <w:p w14:paraId="3A35E634" w14:textId="135147A7" w:rsidR="007A33C1" w:rsidRDefault="006A01FE" w:rsidP="007A33C1">
      <w:r>
        <w:t xml:space="preserve">47% </w:t>
      </w:r>
      <w:r w:rsidR="007A33C1">
        <w:t>Age Typical Development</w:t>
      </w:r>
    </w:p>
    <w:p w14:paraId="39730D86" w14:textId="77777777" w:rsidR="006A01FE" w:rsidRDefault="006A01FE" w:rsidP="006A01FE"/>
    <w:p w14:paraId="17E0B06C" w14:textId="77777777" w:rsidR="006A01FE" w:rsidRPr="006A01FE" w:rsidRDefault="006A01FE" w:rsidP="006A01FE">
      <w:pPr>
        <w:rPr>
          <w:rStyle w:val="Strong"/>
        </w:rPr>
      </w:pPr>
      <w:r w:rsidRPr="006A01FE">
        <w:rPr>
          <w:rStyle w:val="Strong"/>
        </w:rPr>
        <w:t>ASQ:SE</w:t>
      </w:r>
    </w:p>
    <w:p w14:paraId="6F9BFF20" w14:textId="00FAEDC0" w:rsidR="007A33C1" w:rsidRDefault="006A01FE" w:rsidP="007A33C1">
      <w:r>
        <w:t xml:space="preserve">27% </w:t>
      </w:r>
      <w:r>
        <w:t>Needs Further Assessment and Behavioral Support</w:t>
      </w:r>
    </w:p>
    <w:p w14:paraId="4546D3FB" w14:textId="5867C289" w:rsidR="007A33C1" w:rsidRDefault="006A01FE" w:rsidP="007A33C1">
      <w:r>
        <w:t xml:space="preserve">10% </w:t>
      </w:r>
      <w:r w:rsidR="007A33C1">
        <w:t>Possible Behavioral Problems</w:t>
      </w:r>
    </w:p>
    <w:p w14:paraId="1F9EDBC3" w14:textId="2A1B87ED" w:rsidR="006A01FE" w:rsidRDefault="006A01FE" w:rsidP="007A33C1">
      <w:r>
        <w:t>63% No Concerns</w:t>
      </w:r>
    </w:p>
    <w:p w14:paraId="42D04844" w14:textId="77777777" w:rsidR="006A01FE" w:rsidRDefault="006A01FE" w:rsidP="007A33C1"/>
    <w:p w14:paraId="53C23ED9" w14:textId="7D3A5B5F" w:rsidR="007A33C1" w:rsidRDefault="007A33C1" w:rsidP="006A01FE">
      <w:pPr>
        <w:pStyle w:val="Heading1"/>
      </w:pPr>
      <w:r>
        <w:t>Referrals</w:t>
      </w:r>
    </w:p>
    <w:p w14:paraId="27C6BF27" w14:textId="4B71432D" w:rsidR="007A33C1" w:rsidRDefault="007A33C1" w:rsidP="007A33C1">
      <w:r>
        <w:t xml:space="preserve">From July 2015 – September 2018, </w:t>
      </w:r>
      <w:proofErr w:type="spellStart"/>
      <w:r>
        <w:t>Kariñu</w:t>
      </w:r>
      <w:proofErr w:type="spellEnd"/>
      <w:r>
        <w:t xml:space="preserve"> made a total of 275 referrals to 12 programs and services. </w:t>
      </w:r>
    </w:p>
    <w:p w14:paraId="532AF375" w14:textId="31CAAEBD" w:rsidR="006A01FE" w:rsidRDefault="006A01FE" w:rsidP="007A33C1"/>
    <w:p w14:paraId="0FCF52CC" w14:textId="5F830DFA" w:rsidR="007A33C1" w:rsidRDefault="007A33C1" w:rsidP="002053A1">
      <w:pPr>
        <w:pStyle w:val="Heading1"/>
      </w:pPr>
      <w:r>
        <w:lastRenderedPageBreak/>
        <w:t>Services to Families</w:t>
      </w:r>
    </w:p>
    <w:p w14:paraId="0822A7BA" w14:textId="145655A6" w:rsidR="007A33C1" w:rsidRDefault="007A33C1" w:rsidP="002053A1">
      <w:pPr>
        <w:pStyle w:val="ListParagraph"/>
        <w:numPr>
          <w:ilvl w:val="0"/>
          <w:numId w:val="3"/>
        </w:numPr>
      </w:pPr>
      <w:r>
        <w:t xml:space="preserve">Early Childhood Clinical Services were provided to over 120 children/families and </w:t>
      </w:r>
      <w:proofErr w:type="spellStart"/>
      <w:r>
        <w:t>Kariñu’s</w:t>
      </w:r>
      <w:proofErr w:type="spellEnd"/>
      <w:r>
        <w:t xml:space="preserve"> Mental Health Clinicians routinely provided Early Childhood Mental Health Consultation to other service providers.</w:t>
      </w:r>
    </w:p>
    <w:p w14:paraId="750DCC7C" w14:textId="63203B84" w:rsidR="007A33C1" w:rsidRDefault="007A33C1" w:rsidP="002053A1">
      <w:pPr>
        <w:pStyle w:val="ListParagraph"/>
        <w:numPr>
          <w:ilvl w:val="0"/>
          <w:numId w:val="3"/>
        </w:numPr>
      </w:pPr>
      <w:r>
        <w:t xml:space="preserve">32 Families received Enhanced Home Visitation (EHV), participating in up to eight parent training sessions using evidenced-based curricula. </w:t>
      </w:r>
    </w:p>
    <w:p w14:paraId="0D477003" w14:textId="15EDD14C" w:rsidR="007A33C1" w:rsidRDefault="007A33C1" w:rsidP="002053A1">
      <w:pPr>
        <w:pStyle w:val="ListParagraph"/>
        <w:numPr>
          <w:ilvl w:val="0"/>
          <w:numId w:val="3"/>
        </w:numPr>
      </w:pPr>
      <w:proofErr w:type="spellStart"/>
      <w:r>
        <w:t>Kariñu</w:t>
      </w:r>
      <w:proofErr w:type="spellEnd"/>
      <w:r>
        <w:t xml:space="preserve"> conducted 42 Family Support Activities, including Parent Cafés, Peer Family Support Groups, and Interactive Play Dates. These activities are designed to:</w:t>
      </w:r>
    </w:p>
    <w:p w14:paraId="08A0E841" w14:textId="77777777" w:rsidR="007A33C1" w:rsidRDefault="007A33C1" w:rsidP="002053A1">
      <w:pPr>
        <w:ind w:left="720"/>
      </w:pPr>
      <w:r>
        <w:t>1. nurture positive relationships between caregivers and their children;</w:t>
      </w:r>
    </w:p>
    <w:p w14:paraId="1FFAABD4" w14:textId="77777777" w:rsidR="007A33C1" w:rsidRDefault="007A33C1" w:rsidP="002053A1">
      <w:pPr>
        <w:ind w:left="720"/>
      </w:pPr>
      <w:r>
        <w:t>2. increase parent/caregiver knowledge of child development and parenting skills;</w:t>
      </w:r>
    </w:p>
    <w:p w14:paraId="6E9EAFEA" w14:textId="77777777" w:rsidR="007A33C1" w:rsidRDefault="007A33C1" w:rsidP="002053A1">
      <w:pPr>
        <w:ind w:left="720"/>
      </w:pPr>
      <w:r>
        <w:t>3. build resiliency and teach new ways of parenting and managing stress; and</w:t>
      </w:r>
    </w:p>
    <w:p w14:paraId="58CFA449" w14:textId="77777777" w:rsidR="007A33C1" w:rsidRDefault="007A33C1" w:rsidP="002053A1">
      <w:pPr>
        <w:ind w:left="720"/>
      </w:pPr>
      <w:r>
        <w:t>4. provide opportunities to develop relationships with other parents/caregivers.</w:t>
      </w:r>
    </w:p>
    <w:p w14:paraId="60A8B1AC" w14:textId="77777777" w:rsidR="007A33C1" w:rsidRDefault="007A33C1" w:rsidP="002053A1">
      <w:pPr>
        <w:pStyle w:val="Heading1"/>
      </w:pPr>
      <w:r>
        <w:t>Families Report Positively About Services</w:t>
      </w:r>
    </w:p>
    <w:p w14:paraId="23F03FFE" w14:textId="67E21202" w:rsidR="007A33C1" w:rsidRDefault="007A33C1" w:rsidP="007A33C1">
      <w:r>
        <w:t>98% of caregivers participating in a Parent Café and 100% of caregivers participating in a Peer Family Support Group reported learning something that they plan to try at home. When asked what they plan to try, caregivers shared:</w:t>
      </w:r>
    </w:p>
    <w:p w14:paraId="52D3C279" w14:textId="77777777" w:rsidR="007A33C1" w:rsidRDefault="007A33C1" w:rsidP="007A33C1"/>
    <w:p w14:paraId="20D87593" w14:textId="4E22B99D" w:rsidR="007A33C1" w:rsidRDefault="007A33C1" w:rsidP="002053A1">
      <w:pPr>
        <w:pStyle w:val="ListParagraph"/>
        <w:numPr>
          <w:ilvl w:val="0"/>
          <w:numId w:val="4"/>
        </w:numPr>
      </w:pPr>
      <w:r>
        <w:t>“Be supportive with my son and pay more attention to my kids.”</w:t>
      </w:r>
    </w:p>
    <w:p w14:paraId="2B23452C" w14:textId="63B39F0F" w:rsidR="007A33C1" w:rsidRDefault="007A33C1" w:rsidP="002053A1">
      <w:pPr>
        <w:pStyle w:val="ListParagraph"/>
        <w:numPr>
          <w:ilvl w:val="0"/>
          <w:numId w:val="4"/>
        </w:numPr>
      </w:pPr>
      <w:r>
        <w:t>“Making rules, being positive. Be more consistent.”</w:t>
      </w:r>
    </w:p>
    <w:p w14:paraId="33ADF7FA" w14:textId="4CAB76A0" w:rsidR="007A33C1" w:rsidRDefault="007A33C1" w:rsidP="007A33C1">
      <w:pPr>
        <w:pStyle w:val="ListParagraph"/>
        <w:numPr>
          <w:ilvl w:val="0"/>
          <w:numId w:val="4"/>
        </w:numPr>
      </w:pPr>
      <w:r>
        <w:t>“Make each child feel special with quality time.”</w:t>
      </w:r>
    </w:p>
    <w:p w14:paraId="340F0824" w14:textId="77777777" w:rsidR="007A33C1" w:rsidRDefault="007A33C1" w:rsidP="007A33C1"/>
    <w:p w14:paraId="0CEA7695" w14:textId="03A970C0" w:rsidR="007A33C1" w:rsidRDefault="007A33C1" w:rsidP="007A33C1">
      <w:r>
        <w:t xml:space="preserve">A Family Service Survey was administered to caregivers of children who received services to assess their level of satisfaction across four areas: (1) Satisfaction with Services; (2) Staff Interactions; (3) Increases in Knowledge and Skills; and (4) Perception of Outcomes. </w:t>
      </w:r>
    </w:p>
    <w:p w14:paraId="6F6470C4" w14:textId="16573764" w:rsidR="007A33C1" w:rsidRDefault="007A33C1" w:rsidP="002053A1">
      <w:pPr>
        <w:pStyle w:val="Heading1"/>
      </w:pPr>
      <w:r>
        <w:t>Caregivers Reported Positively Across All Four Area</w:t>
      </w:r>
    </w:p>
    <w:p w14:paraId="6CD6E09A" w14:textId="68F2BC9A" w:rsidR="007A33C1" w:rsidRDefault="007A33C1" w:rsidP="007A33C1">
      <w:r>
        <w:t>Staff Interactions 100%</w:t>
      </w:r>
    </w:p>
    <w:p w14:paraId="003B900F" w14:textId="77777777" w:rsidR="002053A1" w:rsidRDefault="007A33C1" w:rsidP="007A33C1">
      <w:r>
        <w:t>Satisfaction with Services 98%</w:t>
      </w:r>
    </w:p>
    <w:p w14:paraId="11E138FC" w14:textId="08124DCB" w:rsidR="007A33C1" w:rsidRDefault="007A33C1" w:rsidP="007A33C1">
      <w:r>
        <w:t>Increases in Knowledge/Skills 97%</w:t>
      </w:r>
    </w:p>
    <w:p w14:paraId="0853C36A" w14:textId="77777777" w:rsidR="007A33C1" w:rsidRDefault="007A33C1" w:rsidP="007A33C1">
      <w:r>
        <w:t>Outcomes 86%</w:t>
      </w:r>
    </w:p>
    <w:p w14:paraId="05248311" w14:textId="77777777" w:rsidR="007A33C1" w:rsidRDefault="007A33C1" w:rsidP="007A33C1"/>
    <w:p w14:paraId="6C354FD1" w14:textId="14DD2A38" w:rsidR="007A33C1" w:rsidRDefault="007A33C1" w:rsidP="007A33C1">
      <w:r>
        <w:t xml:space="preserve">For More Information About </w:t>
      </w:r>
      <w:proofErr w:type="spellStart"/>
      <w:r>
        <w:t>Kariñu</w:t>
      </w:r>
      <w:proofErr w:type="spellEnd"/>
      <w:r>
        <w:t xml:space="preserve"> Contact at 478-5400 or www.karinu.org</w:t>
      </w:r>
    </w:p>
    <w:p w14:paraId="5443E489" w14:textId="77777777" w:rsidR="007A33C1" w:rsidRDefault="007A33C1" w:rsidP="007A33C1">
      <w:r>
        <w:t>For More Information About the Evaluation Contact: 735-2398</w:t>
      </w:r>
    </w:p>
    <w:p w14:paraId="4BA32CEB" w14:textId="77777777" w:rsidR="007A33C1" w:rsidRDefault="007A33C1" w:rsidP="007A33C1"/>
    <w:p w14:paraId="4DFF0258" w14:textId="77777777" w:rsidR="007A33C1" w:rsidRPr="002053A1" w:rsidRDefault="007A33C1" w:rsidP="007A33C1">
      <w:pPr>
        <w:rPr>
          <w:rStyle w:val="SubtleEmphasis"/>
        </w:rPr>
      </w:pPr>
      <w:bookmarkStart w:id="0" w:name="_GoBack"/>
      <w:r w:rsidRPr="002053A1">
        <w:rPr>
          <w:rStyle w:val="SubtleEmphasis"/>
        </w:rPr>
        <w:t xml:space="preserve">This report was prepared by the University of Guam Center for Excellence in Developmental Disabilities Education, Research, and Service. Funded under grant number 1H79SM061559-04 </w:t>
      </w:r>
    </w:p>
    <w:p w14:paraId="4B09D50A" w14:textId="77777777" w:rsidR="007A33C1" w:rsidRPr="002053A1" w:rsidRDefault="007A33C1" w:rsidP="007A33C1">
      <w:pPr>
        <w:rPr>
          <w:rStyle w:val="SubtleEmphasis"/>
        </w:rPr>
      </w:pPr>
      <w:r w:rsidRPr="002053A1">
        <w:rPr>
          <w:rStyle w:val="SubtleEmphasis"/>
        </w:rPr>
        <w:t xml:space="preserve">REVISED from the Substance Abuse and Mental Health Services Administration (SAMHSA), U.S. Department of Health &amp; Human Services (HSS). The views, policies, and opinions </w:t>
      </w:r>
    </w:p>
    <w:p w14:paraId="533ED020" w14:textId="77777777" w:rsidR="007A33C1" w:rsidRPr="002053A1" w:rsidRDefault="007A33C1" w:rsidP="007A33C1">
      <w:pPr>
        <w:rPr>
          <w:rStyle w:val="SubtleEmphasis"/>
        </w:rPr>
      </w:pPr>
      <w:r w:rsidRPr="002053A1">
        <w:rPr>
          <w:rStyle w:val="SubtleEmphasis"/>
        </w:rPr>
        <w:t xml:space="preserve">expressed are those of the authors and do not necessarily reflect those of SAMHSA or HSS. The University of Guam is an Equal Opportunity Provider and Employer. </w:t>
      </w:r>
    </w:p>
    <w:bookmarkEnd w:id="0"/>
    <w:p w14:paraId="2BC34041" w14:textId="77777777" w:rsidR="007A33C1" w:rsidRDefault="007A33C1" w:rsidP="007A33C1"/>
    <w:p w14:paraId="4F5D9CF6" w14:textId="79E39E19" w:rsidR="00296536" w:rsidRDefault="002053A1"/>
    <w:sectPr w:rsidR="00296536" w:rsidSect="00440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DF"/>
    <w:multiLevelType w:val="hybridMultilevel"/>
    <w:tmpl w:val="D0CA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15DD"/>
    <w:multiLevelType w:val="hybridMultilevel"/>
    <w:tmpl w:val="D92C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D4526"/>
    <w:multiLevelType w:val="hybridMultilevel"/>
    <w:tmpl w:val="F3E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4466"/>
    <w:multiLevelType w:val="hybridMultilevel"/>
    <w:tmpl w:val="6642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D1"/>
    <w:rsid w:val="001F0D78"/>
    <w:rsid w:val="002053A1"/>
    <w:rsid w:val="003644D1"/>
    <w:rsid w:val="003D20CF"/>
    <w:rsid w:val="00440828"/>
    <w:rsid w:val="0050491C"/>
    <w:rsid w:val="006A01FE"/>
    <w:rsid w:val="007A33C1"/>
    <w:rsid w:val="00BF254C"/>
    <w:rsid w:val="00E83231"/>
    <w:rsid w:val="00F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678A2"/>
  <w15:chartTrackingRefBased/>
  <w15:docId w15:val="{FF5D7E00-EB18-4449-AB96-025E8616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44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64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644D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F254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6A01FE"/>
    <w:rPr>
      <w:b/>
      <w:bCs/>
    </w:rPr>
  </w:style>
  <w:style w:type="paragraph" w:styleId="ListParagraph">
    <w:name w:val="List Paragraph"/>
    <w:basedOn w:val="Normal"/>
    <w:uiPriority w:val="34"/>
    <w:qFormat/>
    <w:rsid w:val="006A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Jenika Ballesta</dc:creator>
  <cp:keywords/>
  <dc:description/>
  <cp:lastModifiedBy>Ms. Jenika Ballesta</cp:lastModifiedBy>
  <cp:revision>2</cp:revision>
  <dcterms:created xsi:type="dcterms:W3CDTF">2019-10-01T23:49:00Z</dcterms:created>
  <dcterms:modified xsi:type="dcterms:W3CDTF">2019-10-01T23:49:00Z</dcterms:modified>
</cp:coreProperties>
</file>